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83" w:rsidRDefault="00707D83">
      <w:pPr>
        <w:rPr>
          <w:b/>
        </w:rPr>
      </w:pPr>
      <w:r>
        <w:rPr>
          <w:b/>
        </w:rPr>
        <w:t>ESCOP Science &amp; Technology</w:t>
      </w:r>
      <w:r w:rsidRPr="00707D83">
        <w:rPr>
          <w:b/>
        </w:rPr>
        <w:br/>
      </w:r>
      <w:r w:rsidR="00881AB2">
        <w:rPr>
          <w:b/>
        </w:rPr>
        <w:t xml:space="preserve">Call Notes: </w:t>
      </w:r>
      <w:r w:rsidR="002A5E32">
        <w:rPr>
          <w:b/>
        </w:rPr>
        <w:t xml:space="preserve">June </w:t>
      </w:r>
      <w:r w:rsidR="00881AB2">
        <w:rPr>
          <w:b/>
        </w:rPr>
        <w:t>22</w:t>
      </w:r>
      <w:r w:rsidR="00490ACB" w:rsidRPr="00707D83">
        <w:rPr>
          <w:b/>
        </w:rPr>
        <w:t xml:space="preserve">, 2015 @ </w:t>
      </w:r>
      <w:r w:rsidRPr="00707D83">
        <w:rPr>
          <w:b/>
        </w:rPr>
        <w:t>4 pm ET</w:t>
      </w:r>
      <w:r w:rsidRPr="00707D83">
        <w:rPr>
          <w:b/>
        </w:rPr>
        <w:br/>
      </w:r>
      <w:r w:rsidR="00490ACB" w:rsidRPr="00707D83">
        <w:rPr>
          <w:b/>
        </w:rPr>
        <w:t xml:space="preserve">215-446-3656, ACCESS CODE:   1442561   </w:t>
      </w:r>
    </w:p>
    <w:p w:rsidR="00707D83" w:rsidRPr="00707D83" w:rsidRDefault="00707D83">
      <w:pPr>
        <w:rPr>
          <w:b/>
        </w:rPr>
      </w:pPr>
      <w:r>
        <w:rPr>
          <w:b/>
        </w:rPr>
        <w:t>Committee Members:</w:t>
      </w:r>
    </w:p>
    <w:tbl>
      <w:tblPr>
        <w:tblStyle w:val="TableGrid"/>
        <w:tblW w:w="0" w:type="auto"/>
        <w:tblLook w:val="04A0" w:firstRow="1" w:lastRow="0" w:firstColumn="1" w:lastColumn="0" w:noHBand="0" w:noVBand="1"/>
      </w:tblPr>
      <w:tblGrid>
        <w:gridCol w:w="3978"/>
        <w:gridCol w:w="4066"/>
      </w:tblGrid>
      <w:tr w:rsidR="00707D83" w:rsidRPr="00707D83" w:rsidTr="00707D83">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Chair: </w:t>
                  </w:r>
                  <w:r w:rsidRPr="00707D83">
                    <w:rPr>
                      <w:rFonts w:eastAsia="Times New Roman" w:cs="Times New Roman"/>
                      <w:bCs/>
                    </w:rPr>
                    <w:t>John Russin (SAAESD)</w:t>
                  </w:r>
                </w:p>
              </w:tc>
            </w:tr>
            <w:tr w:rsidR="00707D83" w:rsidRPr="00707D83" w:rsidTr="000855D8">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 xml:space="preserve"> </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Delegates:</w:t>
                  </w: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Larry Curtis (WAAESD)</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David Thompson (WAAESD)</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Joe Colletti (NCRA)</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Deb Hamernik (NCRA)</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Cameron </w:t>
                  </w:r>
                  <w:proofErr w:type="spellStart"/>
                  <w:r w:rsidRPr="00707D83">
                    <w:rPr>
                      <w:rFonts w:eastAsia="Times New Roman" w:cs="Times New Roman"/>
                      <w:bCs/>
                    </w:rPr>
                    <w:t>Faustman</w:t>
                  </w:r>
                  <w:proofErr w:type="spellEnd"/>
                  <w:r w:rsidRPr="00707D83">
                    <w:rPr>
                      <w:rFonts w:eastAsia="Times New Roman" w:cs="Times New Roman"/>
                      <w:bCs/>
                    </w:rPr>
                    <w:t> (NERA)</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Adel Shirmohammadi (NERA)</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Nathan McKinney (SAAESD)</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Harald Scherm (SAAESD)</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Cs/>
                    </w:rPr>
                  </w:pPr>
                  <w:proofErr w:type="spellStart"/>
                  <w:r w:rsidRPr="00707D83">
                    <w:rPr>
                      <w:rFonts w:eastAsia="Times New Roman" w:cs="Times New Roman"/>
                      <w:bCs/>
                    </w:rPr>
                    <w:t>Teferi</w:t>
                  </w:r>
                  <w:proofErr w:type="spellEnd"/>
                  <w:r w:rsidRPr="00707D83">
                    <w:rPr>
                      <w:rFonts w:eastAsia="Times New Roman" w:cs="Times New Roman"/>
                      <w:bCs/>
                    </w:rPr>
                    <w:t xml:space="preserve"> </w:t>
                  </w:r>
                  <w:proofErr w:type="spellStart"/>
                  <w:r w:rsidRPr="00707D83">
                    <w:rPr>
                      <w:rFonts w:eastAsia="Times New Roman" w:cs="Times New Roman"/>
                      <w:bCs/>
                    </w:rPr>
                    <w:t>Tsegaye</w:t>
                  </w:r>
                  <w:proofErr w:type="spellEnd"/>
                  <w:r w:rsidRPr="00707D83">
                    <w:rPr>
                      <w:rFonts w:eastAsia="Times New Roman" w:cs="Times New Roman"/>
                      <w:bCs/>
                    </w:rPr>
                    <w:t xml:space="preserve"> (ARD)</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2A5E32" w:rsidP="00707D83">
                  <w:pPr>
                    <w:spacing w:before="100" w:beforeAutospacing="1" w:after="100" w:afterAutospacing="1" w:line="240" w:lineRule="auto"/>
                    <w:rPr>
                      <w:rFonts w:eastAsia="Times New Roman" w:cs="Times New Roman"/>
                      <w:bCs/>
                    </w:rPr>
                  </w:pPr>
                  <w:proofErr w:type="spellStart"/>
                  <w:r>
                    <w:rPr>
                      <w:rFonts w:eastAsia="Times New Roman" w:cs="Times New Roman"/>
                      <w:bCs/>
                    </w:rPr>
                    <w:t>Mari</w:t>
                  </w:r>
                  <w:r w:rsidR="00707D83" w:rsidRPr="00707D83">
                    <w:rPr>
                      <w:rFonts w:eastAsia="Times New Roman" w:cs="Times New Roman"/>
                      <w:bCs/>
                    </w:rPr>
                    <w:t>kis</w:t>
                  </w:r>
                  <w:proofErr w:type="spellEnd"/>
                  <w:r w:rsidR="00707D83" w:rsidRPr="00707D83">
                    <w:rPr>
                      <w:rFonts w:eastAsia="Times New Roman" w:cs="Times New Roman"/>
                      <w:bCs/>
                    </w:rPr>
                    <w:t xml:space="preserve"> Alvarez (ARD)*</w:t>
                  </w:r>
                </w:p>
              </w:tc>
            </w:tr>
            <w:tr w:rsidR="00707D83" w:rsidRPr="00707D83" w:rsidTr="000855D8">
              <w:trPr>
                <w:trHeight w:val="300"/>
              </w:trPr>
              <w:tc>
                <w:tcPr>
                  <w:tcW w:w="183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618"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1062"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Executive Vice-Chair</w:t>
                  </w:r>
                </w:p>
              </w:tc>
            </w:tr>
            <w:tr w:rsidR="00707D83" w:rsidRPr="00707D83" w:rsidTr="000855D8">
              <w:trPr>
                <w:trHeight w:val="300"/>
              </w:trPr>
              <w:tc>
                <w:tcPr>
                  <w:tcW w:w="3510" w:type="dxa"/>
                  <w:gridSpan w:val="3"/>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Jeff Jacobsen (NCRA)</w:t>
                  </w:r>
                </w:p>
              </w:tc>
            </w:tr>
          </w:tbl>
          <w:p w:rsidR="00707D83" w:rsidRPr="00707D83" w:rsidRDefault="00707D83" w:rsidP="00707D83">
            <w:pPr>
              <w:spacing w:before="100" w:beforeAutospacing="1" w:after="100" w:afterAutospacing="1"/>
              <w:rPr>
                <w:rFonts w:eastAsia="Times New Roman" w:cs="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p w:rsidR="00707D83" w:rsidRPr="00707D83" w:rsidRDefault="00707D83" w:rsidP="00707D83">
                  <w:pPr>
                    <w:spacing w:before="100" w:beforeAutospacing="1" w:after="100" w:afterAutospacing="1" w:line="240" w:lineRule="auto"/>
                    <w:rPr>
                      <w:rFonts w:eastAsia="Times New Roman" w:cs="Times New Roman"/>
                      <w:b/>
                      <w:bCs/>
                    </w:rPr>
                  </w:pPr>
                  <w:r w:rsidRPr="00707D83">
                    <w:rPr>
                      <w:rFonts w:eastAsia="Times New Roman" w:cs="Times New Roman"/>
                      <w:b/>
                      <w:bCs/>
                    </w:rPr>
                    <w:t>Liaisons:</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Terry Nelsen (ERS)</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Cliff Gabriel (OSTP)</w:t>
                  </w:r>
                  <w:r>
                    <w:rPr>
                      <w:rFonts w:eastAsia="Times New Roman" w:cs="Times New Roman"/>
                      <w:bCs/>
                    </w:rPr>
                    <w:br/>
                  </w:r>
                  <w:r w:rsidRPr="00707D83">
                    <w:rPr>
                      <w:rFonts w:eastAsia="Times New Roman" w:cs="Times New Roman"/>
                      <w:bCs/>
                    </w:rPr>
                    <w:t xml:space="preserve">Adrianna </w:t>
                  </w:r>
                  <w:proofErr w:type="spellStart"/>
                  <w:r w:rsidRPr="00707D83">
                    <w:rPr>
                      <w:rFonts w:eastAsia="Times New Roman" w:cs="Times New Roman"/>
                      <w:bCs/>
                    </w:rPr>
                    <w:t>Hewings</w:t>
                  </w:r>
                  <w:proofErr w:type="spellEnd"/>
                  <w:r w:rsidRPr="00707D83">
                    <w:rPr>
                      <w:rFonts w:eastAsia="Times New Roman" w:cs="Times New Roman"/>
                      <w:bCs/>
                    </w:rPr>
                    <w:t xml:space="preserve"> (ARS)</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Frank </w:t>
                  </w:r>
                  <w:proofErr w:type="spellStart"/>
                  <w:r w:rsidRPr="00707D83">
                    <w:rPr>
                      <w:rFonts w:eastAsia="Times New Roman" w:cs="Times New Roman"/>
                      <w:bCs/>
                    </w:rPr>
                    <w:t>Zalom</w:t>
                  </w:r>
                  <w:proofErr w:type="spellEnd"/>
                  <w:r w:rsidRPr="00707D83">
                    <w:rPr>
                      <w:rFonts w:eastAsia="Times New Roman" w:cs="Times New Roman"/>
                      <w:bCs/>
                    </w:rPr>
                    <w:t xml:space="preserve"> (Pest </w:t>
                  </w:r>
                  <w:proofErr w:type="spellStart"/>
                  <w:r w:rsidRPr="00707D83">
                    <w:rPr>
                      <w:rFonts w:eastAsia="Times New Roman" w:cs="Times New Roman"/>
                      <w:bCs/>
                    </w:rPr>
                    <w:t>Mgmt</w:t>
                  </w:r>
                  <w:proofErr w:type="spellEnd"/>
                  <w:r w:rsidRPr="00707D83">
                    <w:rPr>
                      <w:rFonts w:eastAsia="Times New Roman" w:cs="Times New Roman"/>
                      <w:bCs/>
                    </w:rPr>
                    <w:t xml:space="preserve"> </w:t>
                  </w:r>
                  <w:proofErr w:type="spellStart"/>
                  <w:r w:rsidRPr="00707D83">
                    <w:rPr>
                      <w:rFonts w:eastAsia="Times New Roman" w:cs="Times New Roman"/>
                      <w:bCs/>
                    </w:rPr>
                    <w:t>Subcom</w:t>
                  </w:r>
                  <w:proofErr w:type="spellEnd"/>
                  <w:r w:rsidRPr="00707D83">
                    <w:rPr>
                      <w:rFonts w:eastAsia="Times New Roman" w:cs="Times New Roman"/>
                      <w:bCs/>
                    </w:rPr>
                    <w:t>)</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Edwin Price (ICOP)</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Cs/>
                    </w:rPr>
                  </w:pPr>
                  <w:r w:rsidRPr="00707D83">
                    <w:rPr>
                      <w:rFonts w:eastAsia="Times New Roman" w:cs="Times New Roman"/>
                      <w:bCs/>
                    </w:rPr>
                    <w:t xml:space="preserve">Scott </w:t>
                  </w:r>
                  <w:proofErr w:type="spellStart"/>
                  <w:r w:rsidRPr="00707D83">
                    <w:rPr>
                      <w:rFonts w:eastAsia="Times New Roman" w:cs="Times New Roman"/>
                      <w:bCs/>
                    </w:rPr>
                    <w:t>Loveridge</w:t>
                  </w:r>
                  <w:proofErr w:type="spellEnd"/>
                  <w:r w:rsidRPr="00707D83">
                    <w:rPr>
                      <w:rFonts w:eastAsia="Times New Roman" w:cs="Times New Roman"/>
                      <w:bCs/>
                    </w:rPr>
                    <w:t xml:space="preserve"> (Social </w:t>
                  </w:r>
                  <w:proofErr w:type="spellStart"/>
                  <w:r w:rsidRPr="00707D83">
                    <w:rPr>
                      <w:rFonts w:eastAsia="Times New Roman" w:cs="Times New Roman"/>
                      <w:bCs/>
                    </w:rPr>
                    <w:t>Sci</w:t>
                  </w:r>
                  <w:proofErr w:type="spellEnd"/>
                  <w:r w:rsidRPr="00707D83">
                    <w:rPr>
                      <w:rFonts w:eastAsia="Times New Roman" w:cs="Times New Roman"/>
                      <w:bCs/>
                    </w:rPr>
                    <w:t xml:space="preserve"> </w:t>
                  </w:r>
                  <w:proofErr w:type="spellStart"/>
                  <w:r w:rsidRPr="00707D83">
                    <w:rPr>
                      <w:rFonts w:eastAsia="Times New Roman" w:cs="Times New Roman"/>
                      <w:bCs/>
                    </w:rPr>
                    <w:t>Subcom</w:t>
                  </w:r>
                  <w:proofErr w:type="spellEnd"/>
                  <w:r w:rsidRPr="00707D83">
                    <w:rPr>
                      <w:rFonts w:eastAsia="Times New Roman" w:cs="Times New Roman"/>
                      <w:bCs/>
                    </w:rPr>
                    <w:t>)</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hideMark/>
                </w:tcPr>
                <w:p w:rsidR="00707D83" w:rsidRPr="00707D83" w:rsidRDefault="00137A62" w:rsidP="00137A62">
                  <w:pPr>
                    <w:spacing w:before="100" w:beforeAutospacing="1" w:after="100" w:afterAutospacing="1" w:line="240" w:lineRule="auto"/>
                    <w:rPr>
                      <w:rFonts w:eastAsia="Times New Roman" w:cs="Times New Roman"/>
                      <w:bCs/>
                    </w:rPr>
                  </w:pPr>
                  <w:r>
                    <w:rPr>
                      <w:rFonts w:eastAsia="Times New Roman" w:cs="Times New Roman"/>
                      <w:bCs/>
                    </w:rPr>
                    <w:t>Parag Chitnis</w:t>
                  </w:r>
                  <w:r w:rsidR="00707D83" w:rsidRPr="00707D83">
                    <w:rPr>
                      <w:rFonts w:eastAsia="Times New Roman" w:cs="Times New Roman"/>
                      <w:bCs/>
                    </w:rPr>
                    <w:t xml:space="preserve"> (NIFA)</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137A62" w:rsidP="00707D83">
                  <w:pPr>
                    <w:spacing w:before="100" w:beforeAutospacing="1" w:after="100" w:afterAutospacing="1" w:line="240" w:lineRule="auto"/>
                    <w:rPr>
                      <w:rFonts w:eastAsia="Times New Roman" w:cs="Times New Roman"/>
                      <w:bCs/>
                    </w:rPr>
                  </w:pPr>
                  <w:r>
                    <w:rPr>
                      <w:rFonts w:eastAsia="Times New Roman" w:cs="Times New Roman"/>
                      <w:bCs/>
                    </w:rPr>
                    <w:t xml:space="preserve">Denise </w:t>
                  </w:r>
                  <w:proofErr w:type="spellStart"/>
                  <w:r>
                    <w:rPr>
                      <w:rFonts w:eastAsia="Times New Roman" w:cs="Times New Roman"/>
                      <w:bCs/>
                    </w:rPr>
                    <w:t>Eblen</w:t>
                  </w:r>
                  <w:proofErr w:type="spellEnd"/>
                  <w:r w:rsidR="00707D83" w:rsidRPr="00707D83">
                    <w:rPr>
                      <w:rFonts w:eastAsia="Times New Roman" w:cs="Times New Roman"/>
                      <w:bCs/>
                    </w:rPr>
                    <w:t xml:space="preserve"> (NIFA)</w:t>
                  </w: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1571"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359"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c>
                <w:tcPr>
                  <w:tcW w:w="960" w:type="dxa"/>
                  <w:tcBorders>
                    <w:top w:val="nil"/>
                    <w:left w:val="nil"/>
                    <w:bottom w:val="nil"/>
                    <w:right w:val="nil"/>
                  </w:tcBorders>
                  <w:shd w:val="clear" w:color="auto" w:fill="auto"/>
                  <w:noWrap/>
                  <w:vAlign w:val="bottom"/>
                  <w:hideMark/>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r w:rsidR="00707D83" w:rsidRPr="00707D83" w:rsidTr="000855D8">
              <w:trPr>
                <w:trHeight w:val="300"/>
              </w:trPr>
              <w:tc>
                <w:tcPr>
                  <w:tcW w:w="3850" w:type="dxa"/>
                  <w:gridSpan w:val="4"/>
                  <w:tcBorders>
                    <w:top w:val="nil"/>
                    <w:left w:val="nil"/>
                    <w:bottom w:val="nil"/>
                    <w:right w:val="nil"/>
                  </w:tcBorders>
                  <w:shd w:val="clear" w:color="auto" w:fill="auto"/>
                  <w:noWrap/>
                  <w:vAlign w:val="bottom"/>
                </w:tcPr>
                <w:p w:rsidR="00707D83" w:rsidRPr="00707D83" w:rsidRDefault="00707D83" w:rsidP="00707D83">
                  <w:pPr>
                    <w:spacing w:before="100" w:beforeAutospacing="1" w:after="100" w:afterAutospacing="1" w:line="240" w:lineRule="auto"/>
                    <w:rPr>
                      <w:rFonts w:eastAsia="Times New Roman" w:cs="Times New Roman"/>
                      <w:b/>
                      <w:bCs/>
                    </w:rPr>
                  </w:pPr>
                </w:p>
              </w:tc>
            </w:tr>
          </w:tbl>
          <w:p w:rsidR="00707D83" w:rsidRPr="00707D83" w:rsidRDefault="00707D83" w:rsidP="00707D83">
            <w:pPr>
              <w:spacing w:before="100" w:beforeAutospacing="1" w:after="100" w:afterAutospacing="1"/>
              <w:rPr>
                <w:rFonts w:eastAsia="Times New Roman" w:cs="Times New Roman"/>
                <w:b/>
                <w:bCs/>
              </w:rPr>
            </w:pPr>
            <w:r>
              <w:rPr>
                <w:rFonts w:eastAsia="Times New Roman" w:cs="Times New Roman"/>
                <w:b/>
                <w:bCs/>
              </w:rPr>
              <w:t>*</w:t>
            </w:r>
            <w:r w:rsidRPr="00707D83">
              <w:rPr>
                <w:rFonts w:eastAsia="Times New Roman" w:cs="Times New Roman"/>
                <w:b/>
                <w:bCs/>
              </w:rPr>
              <w:t>Chair elect</w:t>
            </w:r>
          </w:p>
        </w:tc>
      </w:tr>
    </w:tbl>
    <w:p w:rsidR="003B5F08" w:rsidRDefault="003B5F08" w:rsidP="00707D83">
      <w:pPr>
        <w:spacing w:before="100" w:beforeAutospacing="1" w:after="100" w:afterAutospacing="1" w:line="240" w:lineRule="auto"/>
        <w:rPr>
          <w:rFonts w:eastAsia="Times New Roman" w:cs="Times New Roman"/>
          <w:b/>
          <w:bCs/>
        </w:rPr>
      </w:pPr>
      <w:r>
        <w:rPr>
          <w:rFonts w:eastAsia="Times New Roman" w:cs="Times New Roman"/>
          <w:b/>
          <w:bCs/>
        </w:rPr>
        <w:t>Action Items</w:t>
      </w:r>
    </w:p>
    <w:p w:rsidR="00C403B5" w:rsidRDefault="00C403B5" w:rsidP="00881AB2">
      <w:pPr>
        <w:pStyle w:val="ListParagraph"/>
        <w:numPr>
          <w:ilvl w:val="0"/>
          <w:numId w:val="15"/>
        </w:numPr>
        <w:spacing w:before="100" w:beforeAutospacing="1" w:after="100" w:afterAutospacing="1" w:line="240" w:lineRule="auto"/>
        <w:rPr>
          <w:rFonts w:eastAsia="Times New Roman" w:cs="Times New Roman"/>
          <w:bCs/>
        </w:rPr>
      </w:pPr>
      <w:r>
        <w:rPr>
          <w:rFonts w:eastAsia="Times New Roman" w:cs="Times New Roman"/>
          <w:bCs/>
        </w:rPr>
        <w:t>The June 1, 2015 call notes were approved and Chris Hamilton uploaded them to the ESCOP website.</w:t>
      </w:r>
      <w:r>
        <w:rPr>
          <w:rFonts w:eastAsia="Times New Roman" w:cs="Times New Roman"/>
          <w:bCs/>
        </w:rPr>
        <w:br/>
      </w:r>
    </w:p>
    <w:p w:rsidR="00E67BC8" w:rsidRDefault="00C403B5" w:rsidP="00881AB2">
      <w:pPr>
        <w:pStyle w:val="ListParagraph"/>
        <w:numPr>
          <w:ilvl w:val="0"/>
          <w:numId w:val="15"/>
        </w:numPr>
        <w:spacing w:before="100" w:beforeAutospacing="1" w:after="100" w:afterAutospacing="1" w:line="240" w:lineRule="auto"/>
        <w:rPr>
          <w:rFonts w:eastAsia="Times New Roman" w:cs="Times New Roman"/>
          <w:bCs/>
        </w:rPr>
      </w:pPr>
      <w:r>
        <w:rPr>
          <w:rFonts w:eastAsia="Times New Roman" w:cs="Times New Roman"/>
          <w:bCs/>
        </w:rPr>
        <w:t>Please mark your calendars for our n</w:t>
      </w:r>
      <w:r w:rsidR="00881AB2" w:rsidRPr="00881AB2">
        <w:rPr>
          <w:rFonts w:eastAsia="Times New Roman" w:cs="Times New Roman"/>
          <w:bCs/>
        </w:rPr>
        <w:t>ext call:</w:t>
      </w:r>
      <w:r>
        <w:rPr>
          <w:rFonts w:eastAsia="Times New Roman" w:cs="Times New Roman"/>
          <w:bCs/>
        </w:rPr>
        <w:t xml:space="preserve"> Monday, August 24, at 4 pm ET</w:t>
      </w:r>
      <w:r w:rsidR="00E45F63">
        <w:rPr>
          <w:rFonts w:eastAsia="Times New Roman" w:cs="Times New Roman"/>
          <w:bCs/>
        </w:rPr>
        <w:t xml:space="preserve"> (same numbers as above)</w:t>
      </w:r>
      <w:r>
        <w:rPr>
          <w:rFonts w:eastAsia="Times New Roman" w:cs="Times New Roman"/>
          <w:bCs/>
        </w:rPr>
        <w:t>.</w:t>
      </w:r>
      <w:r w:rsidR="00E67BC8">
        <w:rPr>
          <w:rFonts w:eastAsia="Times New Roman" w:cs="Times New Roman"/>
          <w:bCs/>
        </w:rPr>
        <w:br/>
      </w:r>
    </w:p>
    <w:p w:rsidR="00881AB2" w:rsidRPr="00881AB2" w:rsidRDefault="00E67BC8" w:rsidP="00881AB2">
      <w:pPr>
        <w:pStyle w:val="ListParagraph"/>
        <w:numPr>
          <w:ilvl w:val="0"/>
          <w:numId w:val="15"/>
        </w:numPr>
        <w:spacing w:before="100" w:beforeAutospacing="1" w:after="100" w:afterAutospacing="1" w:line="240" w:lineRule="auto"/>
        <w:rPr>
          <w:rFonts w:eastAsia="Times New Roman" w:cs="Times New Roman"/>
          <w:bCs/>
        </w:rPr>
      </w:pPr>
      <w:r>
        <w:rPr>
          <w:rFonts w:eastAsia="Times New Roman" w:cs="Times New Roman"/>
          <w:bCs/>
        </w:rPr>
        <w:t>Jeff/Chris will look over today’s call notes and synthesize a focused agenda for August 24.</w:t>
      </w:r>
      <w:r w:rsidR="00881AB2">
        <w:rPr>
          <w:rFonts w:eastAsia="Times New Roman" w:cs="Times New Roman"/>
          <w:bCs/>
        </w:rPr>
        <w:br/>
      </w:r>
    </w:p>
    <w:p w:rsidR="00881AB2" w:rsidRPr="00881AB2" w:rsidRDefault="00881AB2" w:rsidP="00881AB2">
      <w:pPr>
        <w:pStyle w:val="ListParagraph"/>
        <w:numPr>
          <w:ilvl w:val="0"/>
          <w:numId w:val="15"/>
        </w:numPr>
        <w:spacing w:before="100" w:beforeAutospacing="1" w:after="100" w:afterAutospacing="1" w:line="240" w:lineRule="auto"/>
        <w:rPr>
          <w:rFonts w:eastAsia="Times New Roman" w:cs="Times New Roman"/>
          <w:bCs/>
        </w:rPr>
      </w:pPr>
      <w:r w:rsidRPr="00881AB2">
        <w:rPr>
          <w:rFonts w:eastAsia="Times New Roman" w:cs="Times New Roman"/>
          <w:bCs/>
        </w:rPr>
        <w:t>Plan to attend our October 1, 2015 face-to-face meeting from 8 am to 12 noon at the Ballantyne Hotel, Charlotte, NC.</w:t>
      </w:r>
    </w:p>
    <w:p w:rsidR="00707D83" w:rsidRPr="00707D83" w:rsidRDefault="00707D83" w:rsidP="00707D83">
      <w:pPr>
        <w:spacing w:before="100" w:beforeAutospacing="1" w:after="100" w:afterAutospacing="1" w:line="240" w:lineRule="auto"/>
        <w:rPr>
          <w:rFonts w:eastAsia="Times New Roman" w:cs="Times New Roman"/>
        </w:rPr>
      </w:pPr>
      <w:r>
        <w:rPr>
          <w:rFonts w:eastAsia="Times New Roman" w:cs="Times New Roman"/>
          <w:b/>
          <w:bCs/>
        </w:rPr>
        <w:t xml:space="preserve">Call </w:t>
      </w:r>
      <w:r w:rsidR="00B4445A">
        <w:rPr>
          <w:rFonts w:eastAsia="Times New Roman" w:cs="Times New Roman"/>
          <w:b/>
          <w:bCs/>
        </w:rPr>
        <w:t>Notes</w:t>
      </w:r>
    </w:p>
    <w:p w:rsidR="00FE5FA8" w:rsidRDefault="00A82A77" w:rsidP="002A5E32">
      <w:pPr>
        <w:pStyle w:val="ListParagraph"/>
        <w:numPr>
          <w:ilvl w:val="0"/>
          <w:numId w:val="12"/>
        </w:numPr>
        <w:rPr>
          <w:rFonts w:eastAsia="Times New Roman" w:cs="Times New Roman"/>
        </w:rPr>
      </w:pPr>
      <w:r w:rsidRPr="00FE5FA8">
        <w:rPr>
          <w:rFonts w:eastAsia="Times New Roman" w:cs="Times New Roman"/>
        </w:rPr>
        <w:t>Roll Call</w:t>
      </w:r>
      <w:r w:rsidR="00B4445A" w:rsidRPr="00FE5FA8">
        <w:rPr>
          <w:rFonts w:eastAsia="Times New Roman" w:cs="Times New Roman"/>
        </w:rPr>
        <w:t xml:space="preserve">: </w:t>
      </w:r>
      <w:r w:rsidR="00C403B5">
        <w:rPr>
          <w:rFonts w:eastAsia="Times New Roman" w:cs="Times New Roman"/>
        </w:rPr>
        <w:t xml:space="preserve">Larry Curtis, David Thompson, Joe </w:t>
      </w:r>
      <w:proofErr w:type="spellStart"/>
      <w:r w:rsidR="00C403B5">
        <w:rPr>
          <w:rFonts w:eastAsia="Times New Roman" w:cs="Times New Roman"/>
        </w:rPr>
        <w:t>Coletti</w:t>
      </w:r>
      <w:proofErr w:type="spellEnd"/>
      <w:r w:rsidR="00C403B5">
        <w:rPr>
          <w:rFonts w:eastAsia="Times New Roman" w:cs="Times New Roman"/>
        </w:rPr>
        <w:t xml:space="preserve">, Deb </w:t>
      </w:r>
      <w:proofErr w:type="spellStart"/>
      <w:r w:rsidR="00C403B5">
        <w:rPr>
          <w:rFonts w:eastAsia="Times New Roman" w:cs="Times New Roman"/>
        </w:rPr>
        <w:t>Hamernik</w:t>
      </w:r>
      <w:proofErr w:type="spellEnd"/>
      <w:r w:rsidR="00C403B5">
        <w:rPr>
          <w:rFonts w:eastAsia="Times New Roman" w:cs="Times New Roman"/>
        </w:rPr>
        <w:t xml:space="preserve">, Adel </w:t>
      </w:r>
      <w:proofErr w:type="spellStart"/>
      <w:r w:rsidR="00C403B5">
        <w:rPr>
          <w:rFonts w:eastAsia="Times New Roman" w:cs="Times New Roman"/>
        </w:rPr>
        <w:t>Shirmohammadi</w:t>
      </w:r>
      <w:proofErr w:type="spellEnd"/>
      <w:r w:rsidR="00C403B5">
        <w:rPr>
          <w:rFonts w:eastAsia="Times New Roman" w:cs="Times New Roman"/>
        </w:rPr>
        <w:t xml:space="preserve">, Harald </w:t>
      </w:r>
      <w:proofErr w:type="spellStart"/>
      <w:r w:rsidR="00C403B5">
        <w:rPr>
          <w:rFonts w:eastAsia="Times New Roman" w:cs="Times New Roman"/>
        </w:rPr>
        <w:t>Scherm</w:t>
      </w:r>
      <w:proofErr w:type="spellEnd"/>
      <w:r w:rsidR="00C403B5">
        <w:rPr>
          <w:rFonts w:eastAsia="Times New Roman" w:cs="Times New Roman"/>
        </w:rPr>
        <w:t xml:space="preserve">, </w:t>
      </w:r>
      <w:proofErr w:type="spellStart"/>
      <w:r w:rsidR="00C403B5">
        <w:rPr>
          <w:rFonts w:eastAsia="Times New Roman" w:cs="Times New Roman"/>
        </w:rPr>
        <w:t>Marikis</w:t>
      </w:r>
      <w:proofErr w:type="spellEnd"/>
      <w:r w:rsidR="00C403B5">
        <w:rPr>
          <w:rFonts w:eastAsia="Times New Roman" w:cs="Times New Roman"/>
        </w:rPr>
        <w:t xml:space="preserve"> Alvarez, Parag </w:t>
      </w:r>
      <w:proofErr w:type="spellStart"/>
      <w:r w:rsidR="00C403B5">
        <w:rPr>
          <w:rFonts w:eastAsia="Times New Roman" w:cs="Times New Roman"/>
        </w:rPr>
        <w:t>Chitnis</w:t>
      </w:r>
      <w:proofErr w:type="spellEnd"/>
      <w:r w:rsidR="00C403B5">
        <w:rPr>
          <w:rFonts w:eastAsia="Times New Roman" w:cs="Times New Roman"/>
        </w:rPr>
        <w:t>, Denis</w:t>
      </w:r>
      <w:r w:rsidR="009F65D4">
        <w:rPr>
          <w:rFonts w:eastAsia="Times New Roman" w:cs="Times New Roman"/>
        </w:rPr>
        <w:t>e</w:t>
      </w:r>
      <w:r w:rsidR="00C403B5">
        <w:rPr>
          <w:rFonts w:eastAsia="Times New Roman" w:cs="Times New Roman"/>
        </w:rPr>
        <w:t xml:space="preserve"> </w:t>
      </w:r>
      <w:proofErr w:type="spellStart"/>
      <w:r w:rsidR="00C403B5">
        <w:rPr>
          <w:rFonts w:eastAsia="Times New Roman" w:cs="Times New Roman"/>
        </w:rPr>
        <w:t>Eblen</w:t>
      </w:r>
      <w:proofErr w:type="spellEnd"/>
      <w:r w:rsidR="00C403B5">
        <w:rPr>
          <w:rFonts w:eastAsia="Times New Roman" w:cs="Times New Roman"/>
        </w:rPr>
        <w:t xml:space="preserve">, </w:t>
      </w:r>
      <w:r w:rsidR="002A5E32" w:rsidRPr="00FE5FA8">
        <w:rPr>
          <w:rFonts w:eastAsia="Times New Roman" w:cs="Times New Roman"/>
        </w:rPr>
        <w:t xml:space="preserve">Jeff Jacobsen, </w:t>
      </w:r>
      <w:r w:rsidR="00B4445A" w:rsidRPr="00FE5FA8">
        <w:rPr>
          <w:rFonts w:eastAsia="Times New Roman" w:cs="Times New Roman"/>
        </w:rPr>
        <w:t xml:space="preserve">Chris Hamilton </w:t>
      </w:r>
      <w:r w:rsidR="00EC6F1F">
        <w:rPr>
          <w:rFonts w:eastAsia="Times New Roman" w:cs="Times New Roman"/>
        </w:rPr>
        <w:t>(recorder)</w:t>
      </w:r>
      <w:r w:rsidR="00FE5FA8">
        <w:rPr>
          <w:rFonts w:eastAsia="Times New Roman" w:cs="Times New Roman"/>
        </w:rPr>
        <w:br/>
      </w:r>
    </w:p>
    <w:p w:rsidR="00881AB2" w:rsidRDefault="00A82A77" w:rsidP="002A5E32">
      <w:pPr>
        <w:pStyle w:val="ListParagraph"/>
        <w:numPr>
          <w:ilvl w:val="0"/>
          <w:numId w:val="12"/>
        </w:numPr>
        <w:rPr>
          <w:rFonts w:eastAsia="Times New Roman" w:cs="Times New Roman"/>
        </w:rPr>
      </w:pPr>
      <w:r w:rsidRPr="00FE5FA8">
        <w:rPr>
          <w:rFonts w:eastAsia="Times New Roman" w:cs="Times New Roman"/>
        </w:rPr>
        <w:lastRenderedPageBreak/>
        <w:t>Review Minut</w:t>
      </w:r>
      <w:r w:rsidR="00B4445A" w:rsidRPr="00FE5FA8">
        <w:rPr>
          <w:rFonts w:eastAsia="Times New Roman" w:cs="Times New Roman"/>
        </w:rPr>
        <w:t>es and Approve (</w:t>
      </w:r>
      <w:r w:rsidR="00881AB2">
        <w:rPr>
          <w:rFonts w:eastAsia="Times New Roman" w:cs="Times New Roman"/>
        </w:rPr>
        <w:t>6/1/2015</w:t>
      </w:r>
      <w:r w:rsidR="00B4445A" w:rsidRPr="00FE5FA8">
        <w:rPr>
          <w:rFonts w:eastAsia="Times New Roman" w:cs="Times New Roman"/>
        </w:rPr>
        <w:t xml:space="preserve"> Call): Approved</w:t>
      </w:r>
      <w:r w:rsidR="00E67BC8">
        <w:rPr>
          <w:rFonts w:eastAsia="Times New Roman" w:cs="Times New Roman"/>
        </w:rPr>
        <w:br/>
      </w:r>
      <w:r w:rsidR="00C403B5">
        <w:rPr>
          <w:rFonts w:eastAsia="Times New Roman" w:cs="Times New Roman"/>
        </w:rPr>
        <w:br/>
      </w:r>
    </w:p>
    <w:p w:rsidR="00C403B5" w:rsidRDefault="00C403B5" w:rsidP="002A5E32">
      <w:pPr>
        <w:pStyle w:val="ListParagraph"/>
        <w:numPr>
          <w:ilvl w:val="0"/>
          <w:numId w:val="12"/>
        </w:numPr>
        <w:rPr>
          <w:rFonts w:eastAsia="Times New Roman" w:cs="Times New Roman"/>
        </w:rPr>
      </w:pPr>
      <w:r>
        <w:rPr>
          <w:rFonts w:eastAsia="Times New Roman" w:cs="Times New Roman"/>
        </w:rPr>
        <w:t xml:space="preserve">Open Access Data </w:t>
      </w:r>
      <w:r w:rsidR="009F65D4">
        <w:rPr>
          <w:rFonts w:eastAsia="Times New Roman" w:cs="Times New Roman"/>
        </w:rPr>
        <w:t xml:space="preserve">Introductory </w:t>
      </w:r>
      <w:r>
        <w:rPr>
          <w:rFonts w:eastAsia="Times New Roman" w:cs="Times New Roman"/>
        </w:rPr>
        <w:t>Discussion:</w:t>
      </w:r>
    </w:p>
    <w:p w:rsidR="00C403B5" w:rsidRDefault="00C403B5" w:rsidP="00C403B5">
      <w:pPr>
        <w:ind w:left="720"/>
        <w:rPr>
          <w:rFonts w:eastAsia="Times New Roman" w:cs="Times New Roman"/>
        </w:rPr>
      </w:pPr>
      <w:r w:rsidRPr="00C403B5">
        <w:rPr>
          <w:rFonts w:eastAsia="Times New Roman" w:cs="Times New Roman"/>
        </w:rPr>
        <w:t xml:space="preserve">Parag Chitnis of NIFA gave a brief introduction into the open access to federally funded data and scholarly publications </w:t>
      </w:r>
      <w:r w:rsidR="009F65D4">
        <w:rPr>
          <w:rFonts w:eastAsia="Times New Roman" w:cs="Times New Roman"/>
        </w:rPr>
        <w:t>resulting from the OSTP and OMB</w:t>
      </w:r>
      <w:r w:rsidRPr="00C403B5">
        <w:rPr>
          <w:rFonts w:eastAsia="Times New Roman" w:cs="Times New Roman"/>
        </w:rPr>
        <w:t xml:space="preserve"> mandate</w:t>
      </w:r>
      <w:r w:rsidR="009F65D4">
        <w:rPr>
          <w:rFonts w:eastAsia="Times New Roman" w:cs="Times New Roman"/>
        </w:rPr>
        <w:t>s</w:t>
      </w:r>
      <w:r w:rsidRPr="00C403B5">
        <w:rPr>
          <w:rFonts w:eastAsia="Times New Roman" w:cs="Times New Roman"/>
        </w:rPr>
        <w:t xml:space="preserve">, indicating that NSF and NIH have </w:t>
      </w:r>
      <w:r w:rsidR="009F65D4">
        <w:rPr>
          <w:rFonts w:eastAsia="Times New Roman" w:cs="Times New Roman"/>
        </w:rPr>
        <w:t xml:space="preserve">had </w:t>
      </w:r>
      <w:r w:rsidRPr="00C403B5">
        <w:rPr>
          <w:rFonts w:eastAsia="Times New Roman" w:cs="Times New Roman"/>
        </w:rPr>
        <w:t>the p</w:t>
      </w:r>
      <w:r w:rsidR="009F65D4">
        <w:rPr>
          <w:rFonts w:eastAsia="Times New Roman" w:cs="Times New Roman"/>
        </w:rPr>
        <w:t>ractice</w:t>
      </w:r>
      <w:r w:rsidRPr="00C403B5">
        <w:rPr>
          <w:rFonts w:eastAsia="Times New Roman" w:cs="Times New Roman"/>
        </w:rPr>
        <w:t xml:space="preserve"> in place</w:t>
      </w:r>
      <w:r w:rsidR="009F65D4">
        <w:rPr>
          <w:rFonts w:eastAsia="Times New Roman" w:cs="Times New Roman"/>
        </w:rPr>
        <w:t xml:space="preserve"> for a number of years</w:t>
      </w:r>
      <w:r w:rsidRPr="00C403B5">
        <w:rPr>
          <w:rFonts w:eastAsia="Times New Roman" w:cs="Times New Roman"/>
        </w:rPr>
        <w:t xml:space="preserve">, requiring two-page data management plans be submitted with </w:t>
      </w:r>
      <w:r w:rsidR="009F65D4">
        <w:rPr>
          <w:rFonts w:eastAsia="Times New Roman" w:cs="Times New Roman"/>
        </w:rPr>
        <w:t xml:space="preserve">all </w:t>
      </w:r>
      <w:r w:rsidRPr="00C403B5">
        <w:rPr>
          <w:rFonts w:eastAsia="Times New Roman" w:cs="Times New Roman"/>
        </w:rPr>
        <w:t xml:space="preserve">grant applications.  USDA-NIFA’s will mirror </w:t>
      </w:r>
      <w:r>
        <w:rPr>
          <w:rFonts w:eastAsia="Times New Roman" w:cs="Times New Roman"/>
        </w:rPr>
        <w:t xml:space="preserve">NSF and NIH with the two-page </w:t>
      </w:r>
      <w:r w:rsidR="009F65D4">
        <w:rPr>
          <w:rFonts w:eastAsia="Times New Roman" w:cs="Times New Roman"/>
        </w:rPr>
        <w:t xml:space="preserve">data management </w:t>
      </w:r>
      <w:r>
        <w:rPr>
          <w:rFonts w:eastAsia="Times New Roman" w:cs="Times New Roman"/>
        </w:rPr>
        <w:t xml:space="preserve">plan </w:t>
      </w:r>
      <w:r w:rsidR="00E45F63">
        <w:rPr>
          <w:rFonts w:eastAsia="Times New Roman" w:cs="Times New Roman"/>
        </w:rPr>
        <w:t xml:space="preserve">(DMP) </w:t>
      </w:r>
      <w:r>
        <w:rPr>
          <w:rFonts w:eastAsia="Times New Roman" w:cs="Times New Roman"/>
        </w:rPr>
        <w:t xml:space="preserve">requirement.  NIFA has already instituted this policy through a pilot program with select competitive </w:t>
      </w:r>
      <w:r w:rsidR="009F65D4">
        <w:rPr>
          <w:rFonts w:eastAsia="Times New Roman" w:cs="Times New Roman"/>
        </w:rPr>
        <w:t xml:space="preserve">2015 </w:t>
      </w:r>
      <w:r>
        <w:rPr>
          <w:rFonts w:eastAsia="Times New Roman" w:cs="Times New Roman"/>
        </w:rPr>
        <w:t xml:space="preserve">RFAs as a way to elicit stakeholder feedback.  FY2016 RFAs will all include the two-page data management plan requirement for all competitive RFAs.  The </w:t>
      </w:r>
      <w:r w:rsidR="009F65D4">
        <w:rPr>
          <w:rFonts w:eastAsia="Times New Roman" w:cs="Times New Roman"/>
        </w:rPr>
        <w:t xml:space="preserve">direct </w:t>
      </w:r>
      <w:r>
        <w:rPr>
          <w:rFonts w:eastAsia="Times New Roman" w:cs="Times New Roman"/>
        </w:rPr>
        <w:t xml:space="preserve">cost of </w:t>
      </w:r>
      <w:r w:rsidR="00E45F63">
        <w:rPr>
          <w:rFonts w:eastAsia="Times New Roman" w:cs="Times New Roman"/>
        </w:rPr>
        <w:t xml:space="preserve">publications and </w:t>
      </w:r>
      <w:r>
        <w:rPr>
          <w:rFonts w:eastAsia="Times New Roman" w:cs="Times New Roman"/>
        </w:rPr>
        <w:t xml:space="preserve">data management can be included into the grant budget.  Specific standards of data management will be left up to the policies </w:t>
      </w:r>
      <w:r w:rsidR="009F65D4">
        <w:rPr>
          <w:rFonts w:eastAsia="Times New Roman" w:cs="Times New Roman"/>
        </w:rPr>
        <w:t xml:space="preserve">or best practices </w:t>
      </w:r>
      <w:r>
        <w:rPr>
          <w:rFonts w:eastAsia="Times New Roman" w:cs="Times New Roman"/>
        </w:rPr>
        <w:t>of the given research communities/</w:t>
      </w:r>
      <w:r w:rsidR="00E45F63">
        <w:rPr>
          <w:rFonts w:eastAsia="Times New Roman" w:cs="Times New Roman"/>
        </w:rPr>
        <w:t xml:space="preserve">professional </w:t>
      </w:r>
      <w:r>
        <w:rPr>
          <w:rFonts w:eastAsia="Times New Roman" w:cs="Times New Roman"/>
        </w:rPr>
        <w:t xml:space="preserve">societies, since definitions of </w:t>
      </w:r>
      <w:r w:rsidR="009F65D4">
        <w:rPr>
          <w:rFonts w:eastAsia="Times New Roman" w:cs="Times New Roman"/>
        </w:rPr>
        <w:t>‘</w:t>
      </w:r>
      <w:r>
        <w:rPr>
          <w:rFonts w:eastAsia="Times New Roman" w:cs="Times New Roman"/>
        </w:rPr>
        <w:t xml:space="preserve">raw </w:t>
      </w:r>
      <w:bookmarkStart w:id="0" w:name="_GoBack"/>
      <w:bookmarkEnd w:id="0"/>
      <w:r w:rsidR="004B24A1">
        <w:rPr>
          <w:rFonts w:eastAsia="Times New Roman" w:cs="Times New Roman"/>
        </w:rPr>
        <w:t>data’ through</w:t>
      </w:r>
      <w:r w:rsidR="00E45F63">
        <w:rPr>
          <w:rFonts w:eastAsia="Times New Roman" w:cs="Times New Roman"/>
        </w:rPr>
        <w:t xml:space="preserve"> data needed to replicate the research </w:t>
      </w:r>
      <w:r>
        <w:rPr>
          <w:rFonts w:eastAsia="Times New Roman" w:cs="Times New Roman"/>
        </w:rPr>
        <w:t xml:space="preserve">are dependent on the given field.  </w:t>
      </w:r>
    </w:p>
    <w:p w:rsidR="00C403B5" w:rsidRDefault="00C403B5" w:rsidP="00C403B5">
      <w:pPr>
        <w:ind w:left="720"/>
        <w:rPr>
          <w:rFonts w:eastAsia="Times New Roman" w:cs="Times New Roman"/>
        </w:rPr>
      </w:pPr>
      <w:r>
        <w:rPr>
          <w:rFonts w:eastAsia="Times New Roman" w:cs="Times New Roman"/>
        </w:rPr>
        <w:t xml:space="preserve">Below is a summary of the </w:t>
      </w:r>
      <w:r w:rsidR="00E67BC8">
        <w:rPr>
          <w:rFonts w:eastAsia="Times New Roman" w:cs="Times New Roman"/>
        </w:rPr>
        <w:t xml:space="preserve">S&amp;T </w:t>
      </w:r>
      <w:r>
        <w:rPr>
          <w:rFonts w:eastAsia="Times New Roman" w:cs="Times New Roman"/>
        </w:rPr>
        <w:t>Committee’s comments, questions, and call discussion:</w:t>
      </w:r>
    </w:p>
    <w:p w:rsidR="00C403B5" w:rsidRDefault="00C403B5" w:rsidP="00C403B5">
      <w:pPr>
        <w:ind w:left="1440"/>
        <w:rPr>
          <w:rFonts w:eastAsia="Times New Roman" w:cs="Times New Roman"/>
        </w:rPr>
      </w:pPr>
      <w:r>
        <w:rPr>
          <w:rFonts w:eastAsia="Times New Roman" w:cs="Times New Roman"/>
        </w:rPr>
        <w:t xml:space="preserve">Q: </w:t>
      </w:r>
      <w:r w:rsidRPr="00C403B5">
        <w:rPr>
          <w:rFonts w:eastAsia="Times New Roman" w:cs="Times New Roman"/>
        </w:rPr>
        <w:t>Will NIFA increase allowable requests on grants to cover the costs of data management</w:t>
      </w:r>
      <w:r w:rsidR="00E45F63">
        <w:rPr>
          <w:rFonts w:eastAsia="Times New Roman" w:cs="Times New Roman"/>
        </w:rPr>
        <w:t xml:space="preserve"> above the stated grant maximum amounts</w:t>
      </w:r>
      <w:r w:rsidRPr="00C403B5">
        <w:rPr>
          <w:rFonts w:eastAsia="Times New Roman" w:cs="Times New Roman"/>
        </w:rPr>
        <w:t xml:space="preserve">? </w:t>
      </w:r>
      <w:r>
        <w:rPr>
          <w:rFonts w:eastAsia="Times New Roman" w:cs="Times New Roman"/>
        </w:rPr>
        <w:t xml:space="preserve">A: </w:t>
      </w:r>
      <w:r w:rsidRPr="00C403B5">
        <w:rPr>
          <w:rFonts w:eastAsia="Times New Roman" w:cs="Times New Roman"/>
        </w:rPr>
        <w:t xml:space="preserve">It will depend upon the </w:t>
      </w:r>
      <w:r w:rsidR="009F65D4">
        <w:rPr>
          <w:rFonts w:eastAsia="Times New Roman" w:cs="Times New Roman"/>
        </w:rPr>
        <w:t xml:space="preserve">authorizations and </w:t>
      </w:r>
      <w:r w:rsidRPr="00C403B5">
        <w:rPr>
          <w:rFonts w:eastAsia="Times New Roman" w:cs="Times New Roman"/>
        </w:rPr>
        <w:t xml:space="preserve">appropriations of the budget in question. </w:t>
      </w:r>
      <w:r>
        <w:rPr>
          <w:rFonts w:eastAsia="Times New Roman" w:cs="Times New Roman"/>
        </w:rPr>
        <w:t xml:space="preserve">Some </w:t>
      </w:r>
      <w:r w:rsidR="00E45F63">
        <w:rPr>
          <w:rFonts w:eastAsia="Times New Roman" w:cs="Times New Roman"/>
        </w:rPr>
        <w:t xml:space="preserve">programs </w:t>
      </w:r>
      <w:r>
        <w:rPr>
          <w:rFonts w:eastAsia="Times New Roman" w:cs="Times New Roman"/>
        </w:rPr>
        <w:t>are more flexible than others</w:t>
      </w:r>
      <w:r w:rsidR="009F65D4">
        <w:rPr>
          <w:rFonts w:eastAsia="Times New Roman" w:cs="Times New Roman"/>
        </w:rPr>
        <w:t>; however, no new money has been allocated for this new requirement</w:t>
      </w:r>
      <w:r>
        <w:rPr>
          <w:rFonts w:eastAsia="Times New Roman" w:cs="Times New Roman"/>
        </w:rPr>
        <w:t>.</w:t>
      </w:r>
    </w:p>
    <w:p w:rsidR="00C403B5" w:rsidRDefault="00E45F63" w:rsidP="00C403B5">
      <w:pPr>
        <w:ind w:left="1440"/>
        <w:rPr>
          <w:rFonts w:eastAsia="Times New Roman" w:cs="Times New Roman"/>
        </w:rPr>
      </w:pPr>
      <w:r>
        <w:rPr>
          <w:rFonts w:eastAsia="Times New Roman" w:cs="Times New Roman"/>
        </w:rPr>
        <w:t>Concurrently, t</w:t>
      </w:r>
      <w:r w:rsidR="00C403B5">
        <w:rPr>
          <w:rFonts w:eastAsia="Times New Roman" w:cs="Times New Roman"/>
        </w:rPr>
        <w:t>here has been a proliferation of open access journals, resulting</w:t>
      </w:r>
      <w:r w:rsidR="009F65D4">
        <w:rPr>
          <w:rFonts w:eastAsia="Times New Roman" w:cs="Times New Roman"/>
        </w:rPr>
        <w:t xml:space="preserve"> </w:t>
      </w:r>
      <w:r w:rsidR="00461D20">
        <w:rPr>
          <w:rFonts w:eastAsia="Times New Roman" w:cs="Times New Roman"/>
        </w:rPr>
        <w:t>in page</w:t>
      </w:r>
      <w:r w:rsidR="00C403B5">
        <w:rPr>
          <w:rFonts w:eastAsia="Times New Roman" w:cs="Times New Roman"/>
        </w:rPr>
        <w:t xml:space="preserve"> charges </w:t>
      </w:r>
      <w:r w:rsidR="009F65D4">
        <w:rPr>
          <w:rFonts w:eastAsia="Times New Roman" w:cs="Times New Roman"/>
        </w:rPr>
        <w:t xml:space="preserve">being reinstituted </w:t>
      </w:r>
      <w:r w:rsidR="00C403B5">
        <w:rPr>
          <w:rFonts w:eastAsia="Times New Roman" w:cs="Times New Roman"/>
        </w:rPr>
        <w:t>to researchers</w:t>
      </w:r>
      <w:r w:rsidR="009F65D4">
        <w:rPr>
          <w:rFonts w:eastAsia="Times New Roman" w:cs="Times New Roman"/>
        </w:rPr>
        <w:t xml:space="preserve"> desiring to publish in these types of journals.  This is a change from the past </w:t>
      </w:r>
      <w:r>
        <w:rPr>
          <w:rFonts w:eastAsia="Times New Roman" w:cs="Times New Roman"/>
        </w:rPr>
        <w:t xml:space="preserve">practices, </w:t>
      </w:r>
      <w:r w:rsidR="009F65D4">
        <w:rPr>
          <w:rFonts w:eastAsia="Times New Roman" w:cs="Times New Roman"/>
        </w:rPr>
        <w:t>whereby library subscription fees and faculty memberships to professional societies, in general, used to cover publication costs.</w:t>
      </w:r>
      <w:r w:rsidR="00C403B5">
        <w:rPr>
          <w:rFonts w:eastAsia="Times New Roman" w:cs="Times New Roman"/>
        </w:rPr>
        <w:t xml:space="preserve">  Often, these charges result after the grant has already ended.  Are there best practices for dealing with this?  Perhaps include an item in the budget for publication costs?</w:t>
      </w:r>
    </w:p>
    <w:p w:rsidR="00C403B5" w:rsidRDefault="009F65D4" w:rsidP="00C403B5">
      <w:pPr>
        <w:ind w:left="1440"/>
        <w:rPr>
          <w:rFonts w:eastAsia="Times New Roman" w:cs="Times New Roman"/>
        </w:rPr>
      </w:pPr>
      <w:r>
        <w:rPr>
          <w:rFonts w:eastAsia="Times New Roman" w:cs="Times New Roman"/>
        </w:rPr>
        <w:t xml:space="preserve">Preliminary </w:t>
      </w:r>
      <w:r w:rsidR="00C403B5">
        <w:rPr>
          <w:rFonts w:eastAsia="Times New Roman" w:cs="Times New Roman"/>
        </w:rPr>
        <w:t>Data management options:</w:t>
      </w:r>
    </w:p>
    <w:p w:rsidR="00A82A77" w:rsidRPr="00C403B5" w:rsidRDefault="00C403B5" w:rsidP="00C403B5">
      <w:pPr>
        <w:pStyle w:val="ListParagraph"/>
        <w:numPr>
          <w:ilvl w:val="0"/>
          <w:numId w:val="17"/>
        </w:numPr>
        <w:rPr>
          <w:rFonts w:eastAsia="Times New Roman" w:cs="Times New Roman"/>
        </w:rPr>
      </w:pPr>
      <w:r w:rsidRPr="00C403B5">
        <w:rPr>
          <w:rFonts w:eastAsia="Times New Roman" w:cs="Times New Roman"/>
        </w:rPr>
        <w:t xml:space="preserve">Should NIFA </w:t>
      </w:r>
      <w:r w:rsidR="00E45F63">
        <w:rPr>
          <w:rFonts w:eastAsia="Times New Roman" w:cs="Times New Roman"/>
        </w:rPr>
        <w:t xml:space="preserve">create and </w:t>
      </w:r>
      <w:r w:rsidRPr="00C403B5">
        <w:rPr>
          <w:rFonts w:eastAsia="Times New Roman" w:cs="Times New Roman"/>
        </w:rPr>
        <w:t xml:space="preserve">fund its own, centralized data repository?  </w:t>
      </w:r>
      <w:r w:rsidR="00E67BC8">
        <w:rPr>
          <w:rFonts w:eastAsia="Times New Roman" w:cs="Times New Roman"/>
        </w:rPr>
        <w:t xml:space="preserve">It’s an issue of cost.  </w:t>
      </w:r>
      <w:r w:rsidRPr="00C403B5">
        <w:rPr>
          <w:rFonts w:eastAsia="Times New Roman" w:cs="Times New Roman"/>
        </w:rPr>
        <w:t xml:space="preserve">Funding for this would come out of existing research funds; NIFA does not currently have the funds to cover such a program.  </w:t>
      </w:r>
      <w:r w:rsidR="009F65D4">
        <w:rPr>
          <w:rFonts w:eastAsia="Times New Roman" w:cs="Times New Roman"/>
        </w:rPr>
        <w:t xml:space="preserve">NIFA has discussed the </w:t>
      </w:r>
      <w:r w:rsidR="00E45F63">
        <w:rPr>
          <w:rFonts w:eastAsia="Times New Roman" w:cs="Times New Roman"/>
        </w:rPr>
        <w:t>optio</w:t>
      </w:r>
      <w:r w:rsidR="009F65D4">
        <w:rPr>
          <w:rFonts w:eastAsia="Times New Roman" w:cs="Times New Roman"/>
        </w:rPr>
        <w:t xml:space="preserve">n of creating competitive grant programs to explore open access alternatives with publications and data.  </w:t>
      </w:r>
      <w:r w:rsidRPr="00C403B5">
        <w:rPr>
          <w:rFonts w:eastAsia="Times New Roman" w:cs="Times New Roman"/>
        </w:rPr>
        <w:t>NIFA and ESCOP would need to work together to encourage Congress to increase funding for such a program.</w:t>
      </w:r>
    </w:p>
    <w:p w:rsidR="00C403B5" w:rsidRPr="00C403B5" w:rsidRDefault="00C403B5" w:rsidP="00C403B5">
      <w:pPr>
        <w:pStyle w:val="ListParagraph"/>
        <w:numPr>
          <w:ilvl w:val="0"/>
          <w:numId w:val="17"/>
        </w:numPr>
        <w:rPr>
          <w:rFonts w:eastAsia="Times New Roman" w:cs="Times New Roman"/>
        </w:rPr>
      </w:pPr>
      <w:r w:rsidRPr="00C403B5">
        <w:rPr>
          <w:rFonts w:eastAsia="Times New Roman" w:cs="Times New Roman"/>
        </w:rPr>
        <w:t>Can</w:t>
      </w:r>
      <w:r w:rsidR="00E45F63">
        <w:rPr>
          <w:rFonts w:eastAsia="Times New Roman" w:cs="Times New Roman"/>
        </w:rPr>
        <w:t xml:space="preserve"> (should)</w:t>
      </w:r>
      <w:r w:rsidRPr="00C403B5">
        <w:rPr>
          <w:rFonts w:eastAsia="Times New Roman" w:cs="Times New Roman"/>
        </w:rPr>
        <w:t xml:space="preserve"> local university libraries </w:t>
      </w:r>
      <w:r w:rsidR="009F65D4">
        <w:rPr>
          <w:rFonts w:eastAsia="Times New Roman" w:cs="Times New Roman"/>
        </w:rPr>
        <w:t xml:space="preserve">or research offices </w:t>
      </w:r>
      <w:r w:rsidRPr="00C403B5">
        <w:rPr>
          <w:rFonts w:eastAsia="Times New Roman" w:cs="Times New Roman"/>
        </w:rPr>
        <w:t xml:space="preserve">take on this task? Possibly, although perhaps different locations would have different specialties.  University libraries are well-equipped to handle publications, but can they handle </w:t>
      </w:r>
      <w:r w:rsidR="00E45F63">
        <w:rPr>
          <w:rFonts w:eastAsia="Times New Roman" w:cs="Times New Roman"/>
        </w:rPr>
        <w:t xml:space="preserve">the </w:t>
      </w:r>
      <w:r w:rsidRPr="00C403B5">
        <w:rPr>
          <w:rFonts w:eastAsia="Times New Roman" w:cs="Times New Roman"/>
        </w:rPr>
        <w:t xml:space="preserve">much more complex </w:t>
      </w:r>
      <w:r w:rsidR="009F65D4">
        <w:rPr>
          <w:rFonts w:eastAsia="Times New Roman" w:cs="Times New Roman"/>
        </w:rPr>
        <w:t>facet of open access with</w:t>
      </w:r>
      <w:r w:rsidR="00E45F63">
        <w:rPr>
          <w:rFonts w:eastAsia="Times New Roman" w:cs="Times New Roman"/>
        </w:rPr>
        <w:t xml:space="preserve"> </w:t>
      </w:r>
      <w:r w:rsidRPr="00C403B5">
        <w:rPr>
          <w:rFonts w:eastAsia="Times New Roman" w:cs="Times New Roman"/>
        </w:rPr>
        <w:t xml:space="preserve">data? </w:t>
      </w:r>
    </w:p>
    <w:p w:rsidR="00C403B5" w:rsidRDefault="009F65D4" w:rsidP="00C403B5">
      <w:pPr>
        <w:pStyle w:val="ListParagraph"/>
        <w:numPr>
          <w:ilvl w:val="0"/>
          <w:numId w:val="17"/>
        </w:numPr>
        <w:rPr>
          <w:rFonts w:eastAsia="Times New Roman" w:cs="Times New Roman"/>
        </w:rPr>
      </w:pPr>
      <w:r>
        <w:rPr>
          <w:rFonts w:eastAsia="Times New Roman" w:cs="Times New Roman"/>
        </w:rPr>
        <w:lastRenderedPageBreak/>
        <w:t xml:space="preserve">Discussion ensued on alternative models with a single university or consortium of institutions securing funds to host </w:t>
      </w:r>
      <w:r w:rsidR="00461D20">
        <w:rPr>
          <w:rFonts w:eastAsia="Times New Roman" w:cs="Times New Roman"/>
        </w:rPr>
        <w:t>digital</w:t>
      </w:r>
      <w:r>
        <w:rPr>
          <w:rFonts w:eastAsia="Times New Roman" w:cs="Times New Roman"/>
        </w:rPr>
        <w:t xml:space="preserve"> data. Regional centers might be an alternative to every institution having to do their own across disciplines and funding agencies.</w:t>
      </w:r>
      <w:r w:rsidR="00E45F63">
        <w:rPr>
          <w:rFonts w:eastAsia="Times New Roman" w:cs="Times New Roman"/>
        </w:rPr>
        <w:t xml:space="preserve">  Some discussion reflected upon the issue across all 1862s and 1890s.</w:t>
      </w:r>
      <w:r w:rsidR="00C403B5" w:rsidRPr="00C403B5">
        <w:rPr>
          <w:rFonts w:eastAsia="Times New Roman" w:cs="Times New Roman"/>
        </w:rPr>
        <w:t xml:space="preserve"> Again, ESCOP and NIFA would need to work together to petition Congress for </w:t>
      </w:r>
      <w:r>
        <w:rPr>
          <w:rFonts w:eastAsia="Times New Roman" w:cs="Times New Roman"/>
        </w:rPr>
        <w:t>new</w:t>
      </w:r>
      <w:r w:rsidR="00C403B5" w:rsidRPr="00C403B5">
        <w:rPr>
          <w:rFonts w:eastAsia="Times New Roman" w:cs="Times New Roman"/>
        </w:rPr>
        <w:t xml:space="preserve"> funding to support such a program.</w:t>
      </w:r>
    </w:p>
    <w:p w:rsidR="00C403B5" w:rsidRPr="00C403B5" w:rsidRDefault="00C403B5" w:rsidP="00C403B5">
      <w:pPr>
        <w:pStyle w:val="ListParagraph"/>
        <w:numPr>
          <w:ilvl w:val="0"/>
          <w:numId w:val="17"/>
        </w:numPr>
        <w:rPr>
          <w:rFonts w:eastAsia="Times New Roman" w:cs="Times New Roman"/>
        </w:rPr>
      </w:pPr>
      <w:r>
        <w:rPr>
          <w:rFonts w:eastAsia="Times New Roman" w:cs="Times New Roman"/>
        </w:rPr>
        <w:t>Other?</w:t>
      </w:r>
    </w:p>
    <w:p w:rsidR="00E67BC8" w:rsidRDefault="00C403B5" w:rsidP="00C403B5">
      <w:pPr>
        <w:ind w:left="1440"/>
        <w:rPr>
          <w:rFonts w:eastAsia="Times New Roman" w:cs="Times New Roman"/>
        </w:rPr>
      </w:pPr>
      <w:r>
        <w:rPr>
          <w:rFonts w:eastAsia="Times New Roman" w:cs="Times New Roman"/>
        </w:rPr>
        <w:t>How do we address the long-term, post-grant, costs of data management?  How can we build these costs into grants? Are there other ways universities are funding these?</w:t>
      </w:r>
      <w:r w:rsidR="00E67BC8">
        <w:rPr>
          <w:rFonts w:eastAsia="Times New Roman" w:cs="Times New Roman"/>
        </w:rPr>
        <w:t xml:space="preserve"> </w:t>
      </w:r>
      <w:r w:rsidR="009F65D4">
        <w:rPr>
          <w:rFonts w:eastAsia="Times New Roman" w:cs="Times New Roman"/>
        </w:rPr>
        <w:t>What is the cost of implementing this across all institutions?</w:t>
      </w:r>
    </w:p>
    <w:p w:rsidR="00C403B5" w:rsidRDefault="00E67BC8" w:rsidP="00C403B5">
      <w:pPr>
        <w:ind w:left="1440"/>
        <w:rPr>
          <w:rFonts w:eastAsia="Times New Roman" w:cs="Times New Roman"/>
        </w:rPr>
      </w:pPr>
      <w:r>
        <w:rPr>
          <w:rFonts w:eastAsia="Times New Roman" w:cs="Times New Roman"/>
        </w:rPr>
        <w:t>Ultimately, we need more money to meet the requirements of this unfunded mandate.  Where would these funds come from?  Petition Congress to increase NIFA funding?  Request increases to Capacity funds? Should we be looking elsewhere besides federal grants to fund data management?</w:t>
      </w:r>
    </w:p>
    <w:p w:rsidR="00C403B5" w:rsidRDefault="00C403B5" w:rsidP="00C403B5">
      <w:pPr>
        <w:ind w:left="1440"/>
        <w:rPr>
          <w:rFonts w:eastAsia="Times New Roman" w:cs="Times New Roman"/>
        </w:rPr>
      </w:pPr>
      <w:r>
        <w:rPr>
          <w:rFonts w:eastAsia="Times New Roman" w:cs="Times New Roman"/>
        </w:rPr>
        <w:t xml:space="preserve">How do we address researchers who </w:t>
      </w:r>
      <w:r w:rsidR="009F65D4">
        <w:rPr>
          <w:rFonts w:eastAsia="Times New Roman" w:cs="Times New Roman"/>
        </w:rPr>
        <w:t>conduct their research</w:t>
      </w:r>
      <w:r w:rsidR="00E45F63">
        <w:rPr>
          <w:rFonts w:eastAsia="Times New Roman" w:cs="Times New Roman"/>
        </w:rPr>
        <w:t xml:space="preserve"> with</w:t>
      </w:r>
      <w:r>
        <w:rPr>
          <w:rFonts w:eastAsia="Times New Roman" w:cs="Times New Roman"/>
        </w:rPr>
        <w:t xml:space="preserve"> a variety of funding sources, including federal, state, commodity, </w:t>
      </w:r>
      <w:r w:rsidR="00E45F63">
        <w:rPr>
          <w:rFonts w:eastAsia="Times New Roman" w:cs="Times New Roman"/>
        </w:rPr>
        <w:t xml:space="preserve">foundation, </w:t>
      </w:r>
      <w:r>
        <w:rPr>
          <w:rFonts w:eastAsia="Times New Roman" w:cs="Times New Roman"/>
        </w:rPr>
        <w:t xml:space="preserve">etc.?  At what </w:t>
      </w:r>
      <w:r w:rsidR="009F65D4">
        <w:rPr>
          <w:rFonts w:eastAsia="Times New Roman" w:cs="Times New Roman"/>
        </w:rPr>
        <w:t xml:space="preserve">threshold </w:t>
      </w:r>
      <w:r w:rsidR="00461D20">
        <w:rPr>
          <w:rFonts w:eastAsia="Times New Roman" w:cs="Times New Roman"/>
        </w:rPr>
        <w:t xml:space="preserve">of funding </w:t>
      </w:r>
      <w:r w:rsidR="00E45F63">
        <w:rPr>
          <w:rFonts w:eastAsia="Times New Roman" w:cs="Times New Roman"/>
        </w:rPr>
        <w:t xml:space="preserve">are the data and publications </w:t>
      </w:r>
      <w:r>
        <w:rPr>
          <w:rFonts w:eastAsia="Times New Roman" w:cs="Times New Roman"/>
        </w:rPr>
        <w:t xml:space="preserve">considered </w:t>
      </w:r>
      <w:r w:rsidR="00E45F63">
        <w:rPr>
          <w:rFonts w:eastAsia="Times New Roman" w:cs="Times New Roman"/>
        </w:rPr>
        <w:t xml:space="preserve">applicable to this mandate through us of </w:t>
      </w:r>
      <w:r>
        <w:rPr>
          <w:rFonts w:eastAsia="Times New Roman" w:cs="Times New Roman"/>
        </w:rPr>
        <w:t>federally funded research?  Curre</w:t>
      </w:r>
      <w:r w:rsidR="00E67BC8">
        <w:rPr>
          <w:rFonts w:eastAsia="Times New Roman" w:cs="Times New Roman"/>
        </w:rPr>
        <w:t xml:space="preserve">ntly, there is no formal NIFA policy on </w:t>
      </w:r>
      <w:r>
        <w:rPr>
          <w:rFonts w:eastAsia="Times New Roman" w:cs="Times New Roman"/>
        </w:rPr>
        <w:t xml:space="preserve">this.  </w:t>
      </w:r>
    </w:p>
    <w:p w:rsidR="00E67BC8" w:rsidRDefault="00C403B5" w:rsidP="00C403B5">
      <w:pPr>
        <w:ind w:left="1440"/>
        <w:rPr>
          <w:rFonts w:eastAsia="Times New Roman" w:cs="Times New Roman"/>
        </w:rPr>
      </w:pPr>
      <w:r>
        <w:rPr>
          <w:rFonts w:eastAsia="Times New Roman" w:cs="Times New Roman"/>
        </w:rPr>
        <w:t>Should the S&amp;T committee reach out to our researc</w:t>
      </w:r>
      <w:r w:rsidR="00E67BC8">
        <w:rPr>
          <w:rFonts w:eastAsia="Times New Roman" w:cs="Times New Roman"/>
        </w:rPr>
        <w:t xml:space="preserve">h communities/societies and collect information and feedback on </w:t>
      </w:r>
      <w:r w:rsidR="00E45F63">
        <w:rPr>
          <w:rFonts w:eastAsia="Times New Roman" w:cs="Times New Roman"/>
        </w:rPr>
        <w:t xml:space="preserve">their current and future activities associated with open access to publications and </w:t>
      </w:r>
      <w:r w:rsidR="00461D20">
        <w:rPr>
          <w:rFonts w:eastAsia="Times New Roman" w:cs="Times New Roman"/>
        </w:rPr>
        <w:t>data</w:t>
      </w:r>
      <w:r w:rsidR="00E67BC8">
        <w:rPr>
          <w:rFonts w:eastAsia="Times New Roman" w:cs="Times New Roman"/>
        </w:rPr>
        <w:t xml:space="preserve">?  The tri-societies (SSSA/CSSA/ASA) and entomology groups are already involved; this is also an opportunity to reach out to animal science groups.  </w:t>
      </w:r>
      <w:r>
        <w:rPr>
          <w:rFonts w:eastAsia="Times New Roman" w:cs="Times New Roman"/>
        </w:rPr>
        <w:t xml:space="preserve">  Yes, perhaps this can be a role of this group.  We </w:t>
      </w:r>
      <w:r w:rsidR="00E45F63">
        <w:rPr>
          <w:rFonts w:eastAsia="Times New Roman" w:cs="Times New Roman"/>
        </w:rPr>
        <w:t xml:space="preserve">may </w:t>
      </w:r>
      <w:r>
        <w:rPr>
          <w:rFonts w:eastAsia="Times New Roman" w:cs="Times New Roman"/>
        </w:rPr>
        <w:t xml:space="preserve">need this information </w:t>
      </w:r>
      <w:r w:rsidR="00E45F63">
        <w:rPr>
          <w:rFonts w:eastAsia="Times New Roman" w:cs="Times New Roman"/>
        </w:rPr>
        <w:t xml:space="preserve">or some representative samples from these sources </w:t>
      </w:r>
      <w:r>
        <w:rPr>
          <w:rFonts w:eastAsia="Times New Roman" w:cs="Times New Roman"/>
        </w:rPr>
        <w:t xml:space="preserve">to be able to estimate the actual costs of </w:t>
      </w:r>
      <w:r w:rsidR="00E45F63">
        <w:rPr>
          <w:rFonts w:eastAsia="Times New Roman" w:cs="Times New Roman"/>
        </w:rPr>
        <w:t xml:space="preserve">publications and </w:t>
      </w:r>
      <w:r>
        <w:rPr>
          <w:rFonts w:eastAsia="Times New Roman" w:cs="Times New Roman"/>
        </w:rPr>
        <w:t xml:space="preserve">data management and the </w:t>
      </w:r>
      <w:r w:rsidR="00E45F63">
        <w:rPr>
          <w:rFonts w:eastAsia="Times New Roman" w:cs="Times New Roman"/>
        </w:rPr>
        <w:t xml:space="preserve">human, physical and financial </w:t>
      </w:r>
      <w:r>
        <w:rPr>
          <w:rFonts w:eastAsia="Times New Roman" w:cs="Times New Roman"/>
        </w:rPr>
        <w:t>resources needed.</w:t>
      </w:r>
      <w:r w:rsidR="00E67BC8">
        <w:rPr>
          <w:rFonts w:eastAsia="Times New Roman" w:cs="Times New Roman"/>
        </w:rPr>
        <w:t xml:space="preserve">  </w:t>
      </w:r>
    </w:p>
    <w:p w:rsidR="00C403B5" w:rsidRDefault="00C403B5" w:rsidP="00C403B5">
      <w:pPr>
        <w:ind w:left="1440"/>
        <w:rPr>
          <w:rFonts w:eastAsia="Times New Roman" w:cs="Times New Roman"/>
        </w:rPr>
      </w:pPr>
      <w:r>
        <w:rPr>
          <w:rFonts w:eastAsia="Times New Roman" w:cs="Times New Roman"/>
        </w:rPr>
        <w:t>NIFA is happy to receive feedback at any time on this data policy.  They consider this a gradual approach</w:t>
      </w:r>
      <w:r w:rsidR="009F65D4">
        <w:rPr>
          <w:rFonts w:eastAsia="Times New Roman" w:cs="Times New Roman"/>
        </w:rPr>
        <w:t xml:space="preserve"> (and have published a three-year implementation plan)</w:t>
      </w:r>
      <w:r>
        <w:rPr>
          <w:rFonts w:eastAsia="Times New Roman" w:cs="Times New Roman"/>
        </w:rPr>
        <w:t xml:space="preserve"> and would like to incorporate stakeholder feedback to ensure that this is not an unnecessary burden without benefit.</w:t>
      </w:r>
    </w:p>
    <w:p w:rsidR="00C403B5" w:rsidRPr="00C403B5" w:rsidRDefault="00C403B5" w:rsidP="00C403B5">
      <w:pPr>
        <w:ind w:left="1440"/>
        <w:rPr>
          <w:rFonts w:eastAsia="Times New Roman" w:cs="Times New Roman"/>
        </w:rPr>
      </w:pPr>
      <w:r>
        <w:rPr>
          <w:rFonts w:eastAsia="Times New Roman" w:cs="Times New Roman"/>
        </w:rPr>
        <w:t>Path forward from this call: Jeff and Chris will discuss the call notes and work to synthesize a focused agenda for our next call.  This discussion will likely carry forward over a few calls and the October 1 meeting.  This Committee would then make a formal policy recommendation to ESCOP, which would then be directed to NIFA, hopefully by this fall</w:t>
      </w:r>
      <w:r w:rsidR="00E45F63">
        <w:rPr>
          <w:rFonts w:eastAsia="Times New Roman" w:cs="Times New Roman"/>
        </w:rPr>
        <w:t>/early winter</w:t>
      </w:r>
      <w:r>
        <w:rPr>
          <w:rFonts w:eastAsia="Times New Roman" w:cs="Times New Roman"/>
        </w:rPr>
        <w:t>.  Parag indicated NIFA is happy to receive feedback at any time and that a timeframe of this fall would great.</w:t>
      </w:r>
    </w:p>
    <w:p w:rsidR="00AE49D5" w:rsidRDefault="00C403B5">
      <w:pPr>
        <w:rPr>
          <w:rFonts w:eastAsia="Times New Roman" w:cs="Times New Roman"/>
        </w:rPr>
      </w:pPr>
      <w:r>
        <w:rPr>
          <w:rFonts w:eastAsia="Times New Roman" w:cs="Times New Roman"/>
        </w:rPr>
        <w:t xml:space="preserve">Call adjourned at 4:59 pm ET. </w:t>
      </w:r>
    </w:p>
    <w:sectPr w:rsidR="00AE4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92E"/>
    <w:multiLevelType w:val="hybridMultilevel"/>
    <w:tmpl w:val="025E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E39DC"/>
    <w:multiLevelType w:val="hybridMultilevel"/>
    <w:tmpl w:val="E294D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572A4"/>
    <w:multiLevelType w:val="hybridMultilevel"/>
    <w:tmpl w:val="9F3AE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45636"/>
    <w:multiLevelType w:val="hybridMultilevel"/>
    <w:tmpl w:val="5F9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826FF"/>
    <w:multiLevelType w:val="hybridMultilevel"/>
    <w:tmpl w:val="9A3EA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E6563"/>
    <w:multiLevelType w:val="hybridMultilevel"/>
    <w:tmpl w:val="CCCE8D76"/>
    <w:lvl w:ilvl="0" w:tplc="835492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D7D40"/>
    <w:multiLevelType w:val="hybridMultilevel"/>
    <w:tmpl w:val="B95E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734A8"/>
    <w:multiLevelType w:val="hybridMultilevel"/>
    <w:tmpl w:val="B5A2B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4D401F"/>
    <w:multiLevelType w:val="hybridMultilevel"/>
    <w:tmpl w:val="AD6EDC7A"/>
    <w:lvl w:ilvl="0" w:tplc="0409000F">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B047A"/>
    <w:multiLevelType w:val="hybridMultilevel"/>
    <w:tmpl w:val="D600647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A3E3B"/>
    <w:multiLevelType w:val="hybridMultilevel"/>
    <w:tmpl w:val="171A9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651795C"/>
    <w:multiLevelType w:val="hybridMultilevel"/>
    <w:tmpl w:val="160E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A6884"/>
    <w:multiLevelType w:val="hybridMultilevel"/>
    <w:tmpl w:val="BE2C323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17972"/>
    <w:multiLevelType w:val="hybridMultilevel"/>
    <w:tmpl w:val="BD48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41F32"/>
    <w:multiLevelType w:val="hybridMultilevel"/>
    <w:tmpl w:val="4614BD10"/>
    <w:lvl w:ilvl="0" w:tplc="83549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8C122C"/>
    <w:multiLevelType w:val="hybridMultilevel"/>
    <w:tmpl w:val="A296FD80"/>
    <w:lvl w:ilvl="0" w:tplc="819253A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856F30"/>
    <w:multiLevelType w:val="hybridMultilevel"/>
    <w:tmpl w:val="96F6F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2"/>
  </w:num>
  <w:num w:numId="5">
    <w:abstractNumId w:val="9"/>
  </w:num>
  <w:num w:numId="6">
    <w:abstractNumId w:val="15"/>
  </w:num>
  <w:num w:numId="7">
    <w:abstractNumId w:val="5"/>
  </w:num>
  <w:num w:numId="8">
    <w:abstractNumId w:val="3"/>
  </w:num>
  <w:num w:numId="9">
    <w:abstractNumId w:val="11"/>
  </w:num>
  <w:num w:numId="10">
    <w:abstractNumId w:val="14"/>
  </w:num>
  <w:num w:numId="11">
    <w:abstractNumId w:val="16"/>
  </w:num>
  <w:num w:numId="12">
    <w:abstractNumId w:val="1"/>
  </w:num>
  <w:num w:numId="13">
    <w:abstractNumId w:val="13"/>
  </w:num>
  <w:num w:numId="14">
    <w:abstractNumId w:val="6"/>
  </w:num>
  <w:num w:numId="15">
    <w:abstractNumId w:val="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CB"/>
    <w:rsid w:val="000478A4"/>
    <w:rsid w:val="000B4371"/>
    <w:rsid w:val="00100CC3"/>
    <w:rsid w:val="00116BC8"/>
    <w:rsid w:val="00121756"/>
    <w:rsid w:val="00136BA6"/>
    <w:rsid w:val="00137A62"/>
    <w:rsid w:val="001540F4"/>
    <w:rsid w:val="00194170"/>
    <w:rsid w:val="001A4CFB"/>
    <w:rsid w:val="001B266A"/>
    <w:rsid w:val="001E790F"/>
    <w:rsid w:val="00247C3B"/>
    <w:rsid w:val="00286EEB"/>
    <w:rsid w:val="002A5E32"/>
    <w:rsid w:val="002B06EA"/>
    <w:rsid w:val="002B0EC6"/>
    <w:rsid w:val="002C40B4"/>
    <w:rsid w:val="003626E1"/>
    <w:rsid w:val="003710BD"/>
    <w:rsid w:val="003B1751"/>
    <w:rsid w:val="003B5F08"/>
    <w:rsid w:val="003D71F0"/>
    <w:rsid w:val="00420E3F"/>
    <w:rsid w:val="00427CAC"/>
    <w:rsid w:val="00461D20"/>
    <w:rsid w:val="00466451"/>
    <w:rsid w:val="00490ACB"/>
    <w:rsid w:val="004B24A1"/>
    <w:rsid w:val="004D3E8D"/>
    <w:rsid w:val="004F05C8"/>
    <w:rsid w:val="004F70F1"/>
    <w:rsid w:val="00517174"/>
    <w:rsid w:val="00531C0C"/>
    <w:rsid w:val="0057072C"/>
    <w:rsid w:val="005927C1"/>
    <w:rsid w:val="005A2571"/>
    <w:rsid w:val="005A680D"/>
    <w:rsid w:val="005D6497"/>
    <w:rsid w:val="0062573D"/>
    <w:rsid w:val="006667B0"/>
    <w:rsid w:val="00687A42"/>
    <w:rsid w:val="00690A60"/>
    <w:rsid w:val="006968D9"/>
    <w:rsid w:val="006B36AB"/>
    <w:rsid w:val="006C6BDB"/>
    <w:rsid w:val="00707D83"/>
    <w:rsid w:val="007627A0"/>
    <w:rsid w:val="007C59D7"/>
    <w:rsid w:val="007E4EB4"/>
    <w:rsid w:val="00807A1C"/>
    <w:rsid w:val="00813EFC"/>
    <w:rsid w:val="0084535A"/>
    <w:rsid w:val="00881AB2"/>
    <w:rsid w:val="008928BE"/>
    <w:rsid w:val="008A16EC"/>
    <w:rsid w:val="0091222A"/>
    <w:rsid w:val="00935BFA"/>
    <w:rsid w:val="0096375C"/>
    <w:rsid w:val="00983410"/>
    <w:rsid w:val="00983A50"/>
    <w:rsid w:val="009F65D4"/>
    <w:rsid w:val="00A4298B"/>
    <w:rsid w:val="00A61BF2"/>
    <w:rsid w:val="00A736D8"/>
    <w:rsid w:val="00A827D1"/>
    <w:rsid w:val="00A82A77"/>
    <w:rsid w:val="00AC2BDF"/>
    <w:rsid w:val="00AD7207"/>
    <w:rsid w:val="00AE49D5"/>
    <w:rsid w:val="00B1076D"/>
    <w:rsid w:val="00B15293"/>
    <w:rsid w:val="00B4445A"/>
    <w:rsid w:val="00B64B9E"/>
    <w:rsid w:val="00B935C2"/>
    <w:rsid w:val="00BB23E4"/>
    <w:rsid w:val="00BB41D6"/>
    <w:rsid w:val="00BF3E7B"/>
    <w:rsid w:val="00C24776"/>
    <w:rsid w:val="00C403B5"/>
    <w:rsid w:val="00C575F3"/>
    <w:rsid w:val="00C63871"/>
    <w:rsid w:val="00CD5E25"/>
    <w:rsid w:val="00D035C4"/>
    <w:rsid w:val="00D05D7C"/>
    <w:rsid w:val="00D33524"/>
    <w:rsid w:val="00D574F6"/>
    <w:rsid w:val="00DC06E8"/>
    <w:rsid w:val="00DC77C1"/>
    <w:rsid w:val="00DF1398"/>
    <w:rsid w:val="00E23FFD"/>
    <w:rsid w:val="00E30A51"/>
    <w:rsid w:val="00E41D56"/>
    <w:rsid w:val="00E45F63"/>
    <w:rsid w:val="00E546C8"/>
    <w:rsid w:val="00E67BC8"/>
    <w:rsid w:val="00E81A68"/>
    <w:rsid w:val="00EC5090"/>
    <w:rsid w:val="00EC6F1F"/>
    <w:rsid w:val="00ED0E78"/>
    <w:rsid w:val="00ED77CC"/>
    <w:rsid w:val="00EF0302"/>
    <w:rsid w:val="00F06528"/>
    <w:rsid w:val="00F43CCD"/>
    <w:rsid w:val="00F5302E"/>
    <w:rsid w:val="00F75A11"/>
    <w:rsid w:val="00F96223"/>
    <w:rsid w:val="00FA1670"/>
    <w:rsid w:val="00FC3233"/>
    <w:rsid w:val="00FC32F6"/>
    <w:rsid w:val="00FD4DD5"/>
    <w:rsid w:val="00FE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A77"/>
    <w:rPr>
      <w:color w:val="0000FF" w:themeColor="hyperlink"/>
      <w:u w:val="single"/>
    </w:rPr>
  </w:style>
  <w:style w:type="character" w:styleId="CommentReference">
    <w:name w:val="annotation reference"/>
    <w:basedOn w:val="DefaultParagraphFont"/>
    <w:uiPriority w:val="99"/>
    <w:semiHidden/>
    <w:unhideWhenUsed/>
    <w:rsid w:val="00E45F63"/>
    <w:rPr>
      <w:sz w:val="16"/>
      <w:szCs w:val="16"/>
    </w:rPr>
  </w:style>
  <w:style w:type="paragraph" w:styleId="CommentText">
    <w:name w:val="annotation text"/>
    <w:basedOn w:val="Normal"/>
    <w:link w:val="CommentTextChar"/>
    <w:uiPriority w:val="99"/>
    <w:semiHidden/>
    <w:unhideWhenUsed/>
    <w:rsid w:val="00E45F63"/>
    <w:pPr>
      <w:spacing w:line="240" w:lineRule="auto"/>
    </w:pPr>
    <w:rPr>
      <w:sz w:val="20"/>
      <w:szCs w:val="20"/>
    </w:rPr>
  </w:style>
  <w:style w:type="character" w:customStyle="1" w:styleId="CommentTextChar">
    <w:name w:val="Comment Text Char"/>
    <w:basedOn w:val="DefaultParagraphFont"/>
    <w:link w:val="CommentText"/>
    <w:uiPriority w:val="99"/>
    <w:semiHidden/>
    <w:rsid w:val="00E45F63"/>
    <w:rPr>
      <w:sz w:val="20"/>
      <w:szCs w:val="20"/>
    </w:rPr>
  </w:style>
  <w:style w:type="paragraph" w:styleId="CommentSubject">
    <w:name w:val="annotation subject"/>
    <w:basedOn w:val="CommentText"/>
    <w:next w:val="CommentText"/>
    <w:link w:val="CommentSubjectChar"/>
    <w:uiPriority w:val="99"/>
    <w:semiHidden/>
    <w:unhideWhenUsed/>
    <w:rsid w:val="00E45F63"/>
    <w:rPr>
      <w:b/>
      <w:bCs/>
    </w:rPr>
  </w:style>
  <w:style w:type="character" w:customStyle="1" w:styleId="CommentSubjectChar">
    <w:name w:val="Comment Subject Char"/>
    <w:basedOn w:val="CommentTextChar"/>
    <w:link w:val="CommentSubject"/>
    <w:uiPriority w:val="99"/>
    <w:semiHidden/>
    <w:rsid w:val="00E45F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CB"/>
    <w:pPr>
      <w:ind w:left="720"/>
      <w:contextualSpacing/>
    </w:pPr>
  </w:style>
  <w:style w:type="paragraph" w:styleId="BalloonText">
    <w:name w:val="Balloon Text"/>
    <w:basedOn w:val="Normal"/>
    <w:link w:val="BalloonTextChar"/>
    <w:uiPriority w:val="99"/>
    <w:semiHidden/>
    <w:unhideWhenUsed/>
    <w:rsid w:val="0098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50"/>
    <w:rPr>
      <w:rFonts w:ascii="Tahoma" w:hAnsi="Tahoma" w:cs="Tahoma"/>
      <w:sz w:val="16"/>
      <w:szCs w:val="16"/>
    </w:rPr>
  </w:style>
  <w:style w:type="table" w:styleId="TableGrid">
    <w:name w:val="Table Grid"/>
    <w:basedOn w:val="TableNormal"/>
    <w:uiPriority w:val="59"/>
    <w:rsid w:val="007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A77"/>
    <w:rPr>
      <w:color w:val="0000FF" w:themeColor="hyperlink"/>
      <w:u w:val="single"/>
    </w:rPr>
  </w:style>
  <w:style w:type="character" w:styleId="CommentReference">
    <w:name w:val="annotation reference"/>
    <w:basedOn w:val="DefaultParagraphFont"/>
    <w:uiPriority w:val="99"/>
    <w:semiHidden/>
    <w:unhideWhenUsed/>
    <w:rsid w:val="00E45F63"/>
    <w:rPr>
      <w:sz w:val="16"/>
      <w:szCs w:val="16"/>
    </w:rPr>
  </w:style>
  <w:style w:type="paragraph" w:styleId="CommentText">
    <w:name w:val="annotation text"/>
    <w:basedOn w:val="Normal"/>
    <w:link w:val="CommentTextChar"/>
    <w:uiPriority w:val="99"/>
    <w:semiHidden/>
    <w:unhideWhenUsed/>
    <w:rsid w:val="00E45F63"/>
    <w:pPr>
      <w:spacing w:line="240" w:lineRule="auto"/>
    </w:pPr>
    <w:rPr>
      <w:sz w:val="20"/>
      <w:szCs w:val="20"/>
    </w:rPr>
  </w:style>
  <w:style w:type="character" w:customStyle="1" w:styleId="CommentTextChar">
    <w:name w:val="Comment Text Char"/>
    <w:basedOn w:val="DefaultParagraphFont"/>
    <w:link w:val="CommentText"/>
    <w:uiPriority w:val="99"/>
    <w:semiHidden/>
    <w:rsid w:val="00E45F63"/>
    <w:rPr>
      <w:sz w:val="20"/>
      <w:szCs w:val="20"/>
    </w:rPr>
  </w:style>
  <w:style w:type="paragraph" w:styleId="CommentSubject">
    <w:name w:val="annotation subject"/>
    <w:basedOn w:val="CommentText"/>
    <w:next w:val="CommentText"/>
    <w:link w:val="CommentSubjectChar"/>
    <w:uiPriority w:val="99"/>
    <w:semiHidden/>
    <w:unhideWhenUsed/>
    <w:rsid w:val="00E45F63"/>
    <w:rPr>
      <w:b/>
      <w:bCs/>
    </w:rPr>
  </w:style>
  <w:style w:type="character" w:customStyle="1" w:styleId="CommentSubjectChar">
    <w:name w:val="Comment Subject Char"/>
    <w:basedOn w:val="CommentTextChar"/>
    <w:link w:val="CommentSubject"/>
    <w:uiPriority w:val="99"/>
    <w:semiHidden/>
    <w:rsid w:val="00E45F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142C-2809-4226-892D-36E52F7B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826</Words>
  <Characters>6033</Characters>
  <Application>Microsoft Office Word</Application>
  <DocSecurity>0</DocSecurity>
  <Lines>201</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CALS Administration</dc:creator>
  <cp:lastModifiedBy>Christina Hamilton</cp:lastModifiedBy>
  <cp:revision>4</cp:revision>
  <cp:lastPrinted>2015-06-22T19:47:00Z</cp:lastPrinted>
  <dcterms:created xsi:type="dcterms:W3CDTF">2015-06-23T18:40:00Z</dcterms:created>
  <dcterms:modified xsi:type="dcterms:W3CDTF">2015-06-23T20:24:00Z</dcterms:modified>
</cp:coreProperties>
</file>